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D863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11531600</wp:posOffset>
            </wp:positionV>
            <wp:extent cx="368300" cy="469900"/>
            <wp:effectExtent l="0" t="0" r="1270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本科目考试启用前</w:t>
      </w:r>
    </w:p>
    <w:p w14:paraId="18B72F7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北京市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年普通高中学业水平等级性考试</w:t>
      </w:r>
    </w:p>
    <w:p w14:paraId="4D1D5EF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</w:t>
      </w:r>
      <w:r>
        <w:rPr>
          <w:rFonts w:hint="eastAsia" w:ascii="宋体" w:hAnsi="宋体" w:cs="宋体"/>
          <w:b/>
          <w:color w:val="auto"/>
          <w:sz w:val="32"/>
          <w:lang w:val="en-US" w:eastAsia="zh-CN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物</w:t>
      </w:r>
    </w:p>
    <w:p w14:paraId="0DC4984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分钟。考生务必将答案答在答题卡上，在试卷上作答无效。考试结束后，将本试卷和答题卡一并交回。</w:t>
      </w:r>
    </w:p>
    <w:p w14:paraId="7695083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64D9CF8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 w14:paraId="7F0942F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年，国家持续推进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体重管理年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行动。为践行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健康饮食、科学运动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，应持有的正确认识是（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54064E2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饮食中元素种类越多所含能量越高</w:t>
      </w:r>
    </w:p>
    <w:p w14:paraId="4A4A687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饮食中用糖代替脂肪即可控制体重</w:t>
      </w:r>
    </w:p>
    <w:p w14:paraId="3CFB753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无氧运动比有氧运动更有利于控制体重</w:t>
      </w:r>
    </w:p>
    <w:p w14:paraId="4BADC03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在生活中既要均衡饮食又要适量运动</w:t>
      </w:r>
    </w:p>
    <w:p w14:paraId="362E2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下图是植物细胞局部亚显微结构示意图。在有氧呼吸过程中，细胞不同部位产生</w:t>
      </w:r>
      <w:r>
        <w:rPr>
          <w:rFonts w:ascii="Times New Roman" w:hAnsi="Times New Roman" w:eastAsia="Times New Roman" w:cs="Times New Roman"/>
          <w:color w:val="000000"/>
        </w:rPr>
        <w:t>ATP</w:t>
      </w:r>
      <w:r>
        <w:rPr>
          <w:rFonts w:ascii="宋体" w:hAnsi="宋体" w:eastAsia="宋体" w:cs="宋体"/>
          <w:color w:val="000000"/>
        </w:rPr>
        <w:t>的量不同。以下选项正确的是（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706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57475" cy="2276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4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855"/>
        <w:gridCol w:w="990"/>
        <w:gridCol w:w="990"/>
        <w:gridCol w:w="855"/>
      </w:tblGrid>
      <w:tr w14:paraId="7F560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DE70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25F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部位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755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部位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288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部位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3DB2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部位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  <w:tr w14:paraId="1040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E07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1FA2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4CAE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CDBB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F7E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</w:tr>
      <w:tr w14:paraId="112B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24D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E962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9FE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B237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4818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</w:tr>
      <w:tr w14:paraId="4572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0F6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209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E32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B664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3B2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</w:t>
            </w:r>
          </w:p>
        </w:tc>
      </w:tr>
      <w:tr w14:paraId="1CF7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4C4E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363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少量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215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41C3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大量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703C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大量</w:t>
            </w:r>
          </w:p>
        </w:tc>
      </w:tr>
    </w:tbl>
    <w:p w14:paraId="4C4CB4EB">
      <w:pPr>
        <w:spacing w:line="360" w:lineRule="auto"/>
        <w:jc w:val="left"/>
        <w:textAlignment w:val="center"/>
        <w:rPr>
          <w:color w:val="000000"/>
        </w:rPr>
      </w:pPr>
    </w:p>
    <w:p w14:paraId="7A642E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AA9F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某种加酶洗衣粉包装袋上注有下列信息：本品含有蛋白酶、脂肪酶和淀粉酶；洗涤前先浸泡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20min</w:t>
      </w:r>
      <w:r>
        <w:rPr>
          <w:rFonts w:ascii="宋体" w:hAnsi="宋体" w:eastAsia="宋体" w:cs="宋体"/>
          <w:color w:val="000000"/>
        </w:rPr>
        <w:t>，特别脏的衣物可减少浸泡用水量；请勿使用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以上热水。下列叙述错误的是（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3EEA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该洗衣粉含多种酶，不适合洗涤纯棉衣物</w:t>
      </w:r>
    </w:p>
    <w:p w14:paraId="0F44E7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洗涤前浸泡有利于酶与污渍结合催化其分解</w:t>
      </w:r>
    </w:p>
    <w:p w14:paraId="6DC8F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减少浸泡衣物的用水量可提高酶的浓度</w:t>
      </w:r>
    </w:p>
    <w:p w14:paraId="33633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水温过高导致酶活性下降</w:t>
      </w:r>
    </w:p>
    <w:p w14:paraId="48538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科学家对线虫进行诱变，发现</w:t>
      </w:r>
      <w:r>
        <w:rPr>
          <w:rFonts w:ascii="Times New Roman" w:hAnsi="Times New Roman" w:eastAsia="Times New Roman" w:cs="Times New Roman"/>
          <w:color w:val="000000"/>
        </w:rPr>
        <w:t>C3</w:t>
      </w:r>
      <w:r>
        <w:rPr>
          <w:rFonts w:ascii="宋体" w:hAnsi="宋体" w:eastAsia="宋体" w:cs="宋体"/>
          <w:color w:val="000000"/>
        </w:rPr>
        <w:t>基因功能缺失突变体中本应凋亡的细胞存活，</w:t>
      </w:r>
      <w:r>
        <w:rPr>
          <w:rFonts w:ascii="Times New Roman" w:hAnsi="Times New Roman" w:eastAsia="Times New Roman" w:cs="Times New Roman"/>
          <w:color w:val="000000"/>
        </w:rPr>
        <w:t>C9</w:t>
      </w:r>
      <w:r>
        <w:rPr>
          <w:rFonts w:ascii="宋体" w:hAnsi="宋体" w:eastAsia="宋体" w:cs="宋体"/>
          <w:color w:val="000000"/>
        </w:rPr>
        <w:t>基因功能缺失突变体中本不应凋亡的细胞发生凋亡。下列叙述错误的是（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6366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C3</w:t>
      </w:r>
      <w:r>
        <w:rPr>
          <w:rFonts w:ascii="宋体" w:hAnsi="宋体" w:eastAsia="宋体" w:cs="宋体"/>
          <w:color w:val="000000"/>
        </w:rPr>
        <w:t>基因促进细胞凋亡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C9</w:t>
      </w:r>
      <w:r>
        <w:rPr>
          <w:rFonts w:ascii="宋体" w:hAnsi="宋体" w:eastAsia="宋体" w:cs="宋体"/>
          <w:color w:val="000000"/>
        </w:rPr>
        <w:t>基因抑制细胞凋亡</w:t>
      </w:r>
    </w:p>
    <w:p w14:paraId="07F339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细胞凋亡不利于线虫发育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细胞凋亡受基因的调控</w:t>
      </w:r>
    </w:p>
    <w:p w14:paraId="58A86A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1958</w:t>
      </w:r>
      <w:r>
        <w:rPr>
          <w:rFonts w:ascii="宋体" w:hAnsi="宋体" w:eastAsia="宋体" w:cs="宋体"/>
          <w:color w:val="000000"/>
        </w:rPr>
        <w:t>年，</w:t>
      </w:r>
      <w:r>
        <w:rPr>
          <w:rFonts w:ascii="Times New Roman" w:hAnsi="Times New Roman" w:eastAsia="Times New Roman" w:cs="Times New Roman"/>
          <w:color w:val="000000"/>
        </w:rPr>
        <w:t>Meselson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Stahl</w:t>
      </w:r>
      <w:r>
        <w:rPr>
          <w:rFonts w:ascii="宋体" w:hAnsi="宋体" w:eastAsia="宋体" w:cs="宋体"/>
          <w:color w:val="000000"/>
        </w:rPr>
        <w:t>通过</w:t>
      </w:r>
      <w:r>
        <w:rPr>
          <w:color w:val="000000"/>
          <w:vertAlign w:val="superscript"/>
        </w:rPr>
        <w:t>15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标记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的实验，证明了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的半保留复制。关于这一经典实验的叙述正确的是（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996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因为</w:t>
      </w:r>
      <w:r>
        <w:rPr>
          <w:color w:val="000000"/>
          <w:vertAlign w:val="superscript"/>
        </w:rPr>
        <w:t>15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有放射性，所以能够区分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的母链和子链</w:t>
      </w:r>
    </w:p>
    <w:p w14:paraId="0F8B6E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得到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带的位置有三个，证明了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的半保留复制</w:t>
      </w:r>
    </w:p>
    <w:p w14:paraId="646487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变成单链后再进行离心也能得到相同的实验结果</w:t>
      </w:r>
    </w:p>
    <w:p w14:paraId="13BE6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选择大肠杆菌作为实验材料是因为它有环状质粒</w:t>
      </w:r>
      <w:r>
        <w:rPr>
          <w:rFonts w:ascii="Times New Roman" w:hAnsi="Times New Roman" w:eastAsia="Times New Roman" w:cs="Times New Roman"/>
          <w:color w:val="000000"/>
        </w:rPr>
        <w:t>DNA</w:t>
      </w:r>
    </w:p>
    <w:p w14:paraId="4408A8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用于啤酒生产的酿酒酵母是真核生物，其生活史如图。</w:t>
      </w:r>
    </w:p>
    <w:p w14:paraId="29C20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81550" cy="22764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07A6FF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59C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子囊孢子都是单倍体</w:t>
      </w:r>
    </w:p>
    <w:p w14:paraId="2AF3A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营养细胞均无同源染色体</w:t>
      </w:r>
    </w:p>
    <w:p w14:paraId="23A3CC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芽殖过程中不发生染色体数目减半</w:t>
      </w:r>
    </w:p>
    <w:p w14:paraId="44EB4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酿酒酵母可进行有丝分裂，也可进行减数分裂</w:t>
      </w:r>
    </w:p>
    <w:p w14:paraId="0E315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抗维生素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佝偻病是一种伴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染色体显性遗传病。正常女子与男患者所生子女患该病的概率是（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15FD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男孩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女孩</w:t>
      </w:r>
      <w:r>
        <w:rPr>
          <w:rFonts w:ascii="Times New Roman" w:hAnsi="Times New Roman" w:eastAsia="Times New Roman" w:cs="Times New Roman"/>
          <w:color w:val="000000"/>
        </w:rPr>
        <w:t>100%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男孩</w:t>
      </w:r>
      <w:r>
        <w:rPr>
          <w:rFonts w:ascii="Times New Roman" w:hAnsi="Times New Roman" w:eastAsia="Times New Roman" w:cs="Times New Roman"/>
          <w:color w:val="000000"/>
        </w:rPr>
        <w:t>50%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女孩</w:t>
      </w:r>
      <w:r>
        <w:rPr>
          <w:rFonts w:ascii="Times New Roman" w:hAnsi="Times New Roman" w:eastAsia="Times New Roman" w:cs="Times New Roman"/>
          <w:color w:val="000000"/>
        </w:rPr>
        <w:t>50%</w:t>
      </w:r>
    </w:p>
    <w:p w14:paraId="373B9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蝴蝶幼虫取食植物叶片，萝藦类植物进化出产生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能力，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抑制动物细胞膜上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酶的活性，对动物产生毒性，从而阻止大部分蝴蝶幼虫取食。斑蝶类蝴蝶因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酶发生了一个氨基酸替换而对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不敏感，其幼虫可以取食萝藦。下列叙述错误的是（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D4F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斑蝶类蝴蝶对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的适应主要源自基因突变和选择</w:t>
      </w:r>
    </w:p>
    <w:p w14:paraId="7EB1E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斑蝶类蝴蝶取食萝藦可减少与其他蝴蝶竞争食物</w:t>
      </w:r>
    </w:p>
    <w:p w14:paraId="7F360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酶基因突变导致斑蝶类蝴蝶与其他蝴蝶发生生殖隔离</w:t>
      </w:r>
    </w:p>
    <w:p w14:paraId="2BFA3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萝藦类植物和斑蝶类蝴蝶的进化是一个协同进化的实例</w:t>
      </w:r>
    </w:p>
    <w:p w14:paraId="1FA10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油菜素内酯可促进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蛋白进入细胞核调节基因表达，进而促进下胚轴生长。用生长素分别处理野生型和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基因功能缺失突变体的拟南芥幼苗，结果如图。综合以上信息，不能得出的是（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A996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20574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A9D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蛋白是油菜素内酯信号途径的组成成分</w:t>
      </w:r>
    </w:p>
    <w:p w14:paraId="0A3A3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生长素和油菜素内酯都能调控下胚轴生长</w:t>
      </w:r>
    </w:p>
    <w:p w14:paraId="3BF4C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生长素促进下胚轴生长依赖于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蛋白</w:t>
      </w:r>
    </w:p>
    <w:p w14:paraId="5389F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油菜素内酯促进下胚轴生长依赖于生长素</w:t>
      </w:r>
    </w:p>
    <w:p w14:paraId="0ACA3E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外科医生给足外伤患者缝合伤口时，先在伤口附近注射局部麻醉药，以减轻患者疼痛。局部麻醉药的作用原理是（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4B1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降低伤口处效应器的功能</w:t>
      </w:r>
    </w:p>
    <w:p w14:paraId="5654B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降低脊髓中枢的反射能力</w:t>
      </w:r>
    </w:p>
    <w:p w14:paraId="5789AB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阻断相关传出神经纤维的传导</w:t>
      </w:r>
    </w:p>
    <w:p w14:paraId="2266C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阻断相关传入神经纤维的传导</w:t>
      </w:r>
    </w:p>
    <w:p w14:paraId="657E6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为了解甲基苯丙胺（</w:t>
      </w:r>
      <w:r>
        <w:rPr>
          <w:rFonts w:ascii="Times New Roman" w:hAnsi="Times New Roman" w:eastAsia="Times New Roman" w:cs="Times New Roman"/>
          <w:color w:val="000000"/>
        </w:rPr>
        <w:t>MA</w:t>
      </w:r>
      <w:r>
        <w:rPr>
          <w:rFonts w:ascii="宋体" w:hAnsi="宋体" w:eastAsia="宋体" w:cs="宋体"/>
          <w:color w:val="000000"/>
        </w:rPr>
        <w:t>，俗称冰毒）对心脏功能的影响，研究者比较了吸食与不吸食</w:t>
      </w:r>
      <w:r>
        <w:rPr>
          <w:rFonts w:ascii="Times New Roman" w:hAnsi="Times New Roman" w:eastAsia="Times New Roman" w:cs="Times New Roman"/>
          <w:color w:val="000000"/>
        </w:rPr>
        <w:t>MA</w:t>
      </w:r>
      <w:r>
        <w:rPr>
          <w:rFonts w:ascii="宋体" w:hAnsi="宋体" w:eastAsia="宋体" w:cs="宋体"/>
          <w:color w:val="000000"/>
        </w:rPr>
        <w:t>人群左心室的泵血能力，结果如图。下列叙述正确的是（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53F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6478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AA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滥用</w:t>
      </w:r>
      <w:r>
        <w:rPr>
          <w:rFonts w:ascii="Times New Roman" w:hAnsi="Times New Roman" w:eastAsia="Times New Roman" w:cs="Times New Roman"/>
          <w:color w:val="000000"/>
        </w:rPr>
        <w:t>MA</w:t>
      </w:r>
      <w:r>
        <w:rPr>
          <w:rFonts w:ascii="宋体" w:hAnsi="宋体" w:eastAsia="宋体" w:cs="宋体"/>
          <w:color w:val="000000"/>
        </w:rPr>
        <w:t>会导致左心室收缩能力下降</w:t>
      </w:r>
    </w:p>
    <w:p w14:paraId="6BB2B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左心室功能的显著下降导致吸食</w:t>
      </w:r>
      <w:r>
        <w:rPr>
          <w:rFonts w:ascii="Times New Roman" w:hAnsi="Times New Roman" w:eastAsia="Times New Roman" w:cs="Times New Roman"/>
          <w:color w:val="000000"/>
        </w:rPr>
        <w:t>MA</w:t>
      </w:r>
      <w:r>
        <w:rPr>
          <w:rFonts w:ascii="宋体" w:hAnsi="宋体" w:eastAsia="宋体" w:cs="宋体"/>
          <w:color w:val="000000"/>
        </w:rPr>
        <w:t>成瘾</w:t>
      </w:r>
    </w:p>
    <w:p w14:paraId="7554D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MA</w:t>
      </w:r>
      <w:r>
        <w:rPr>
          <w:rFonts w:ascii="宋体" w:hAnsi="宋体" w:eastAsia="宋体" w:cs="宋体"/>
          <w:color w:val="000000"/>
        </w:rPr>
        <w:t>可以阻断神经对心脏活动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调节</w:t>
      </w:r>
    </w:p>
    <w:p w14:paraId="5AD7D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MA</w:t>
      </w:r>
      <w:r>
        <w:rPr>
          <w:rFonts w:ascii="宋体" w:hAnsi="宋体" w:eastAsia="宋体" w:cs="宋体"/>
          <w:color w:val="000000"/>
        </w:rPr>
        <w:t>通过破坏血管影响左心室泵血功能</w:t>
      </w:r>
    </w:p>
    <w:p w14:paraId="6E4AB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塞罕坝曾森林茂密，后来由于人类活动破坏而逐渐变成荒原。上世纪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年代以来，林业工人不断努力，种植了华北落叶松等多种树木，如今已将森林覆盖率提高到</w:t>
      </w:r>
      <w:r>
        <w:rPr>
          <w:rFonts w:ascii="Times New Roman" w:hAnsi="Times New Roman" w:eastAsia="Times New Roman" w:cs="Times New Roman"/>
          <w:color w:val="000000"/>
        </w:rPr>
        <w:t>75%</w:t>
      </w:r>
      <w:r>
        <w:rPr>
          <w:rFonts w:ascii="宋体" w:hAnsi="宋体" w:eastAsia="宋体" w:cs="宋体"/>
          <w:color w:val="000000"/>
        </w:rPr>
        <w:t>以上，成为人类改善自然环境的典范。下列叙述错误的是（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600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塞罕坝造林经验可推广到各类荒原的治理，以提高森林覆盖率</w:t>
      </w:r>
    </w:p>
    <w:p w14:paraId="1BA47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植树造林时要尽量种植多种树木，以利于提高生态系统稳定性</w:t>
      </w:r>
    </w:p>
    <w:p w14:paraId="1D980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塞罕坝的变化说明，人类活动可以影响群落演替的进程和方向</w:t>
      </w:r>
    </w:p>
    <w:p w14:paraId="0C4B8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与上世纪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年代相比，现在塞罕坝生态系统的固碳量大幅增加</w:t>
      </w:r>
    </w:p>
    <w:p w14:paraId="7B642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近年来，北京建设了许多大型湿地公园，对于生态环境的改善产生了积极作用。以下关于湿地公园生态功能的叙述错误的是（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5C8BA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调蓄洪水，减缓水旱灾害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改变温带季风气候</w:t>
      </w:r>
    </w:p>
    <w:p w14:paraId="194536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自然净化污水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为野生动物提供栖息地</w:t>
      </w:r>
    </w:p>
    <w:p w14:paraId="33989D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动物细胞培养基一般呈淡红色。某次实验时，调控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耗尽，培养基转为黄色。由此推断使培养基呈淡红色的是（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655C0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必需氨基酸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抗生素</w:t>
      </w:r>
    </w:p>
    <w:p w14:paraId="3C702C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酸碱指示剂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血清</w:t>
      </w:r>
    </w:p>
    <w:p w14:paraId="605BB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探究植物细胞的吸水和失水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实验中，在清水和</w:t>
      </w:r>
      <w:r>
        <w:rPr>
          <w:rFonts w:ascii="Times New Roman" w:hAnsi="Times New Roman" w:eastAsia="Times New Roman" w:cs="Times New Roman"/>
          <w:color w:val="000000"/>
        </w:rPr>
        <w:t>0.3g/mL</w:t>
      </w:r>
      <w:r>
        <w:rPr>
          <w:rFonts w:ascii="宋体" w:hAnsi="宋体" w:eastAsia="宋体" w:cs="宋体"/>
          <w:color w:val="000000"/>
        </w:rPr>
        <w:t>蔗糖溶液中处于稳定状态的细胞如图。以下叙述错误的是（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B453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1333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F6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，水分子通过渗透作用进出细胞</w:t>
      </w:r>
    </w:p>
    <w:p w14:paraId="67929E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，细胞壁限制过多的水进入细胞</w:t>
      </w:r>
    </w:p>
    <w:p w14:paraId="632F9A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，细胞失去的水分子是自由水</w:t>
      </w:r>
    </w:p>
    <w:p w14:paraId="437A1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与图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相比，图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中细胞液浓度小</w:t>
      </w:r>
    </w:p>
    <w:p w14:paraId="2EB918C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 w14:paraId="013507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CF33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某同学因颈前部疼痛，伴有发热、心慌、多汗而就医。医生发现其甲状腺有触痛，血液中甲状腺激素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水平升高，诊断为亚急性甲状腺炎。该同学查阅有关资料，了解到甲状腺由许多滤泡构成，每个滤泡由一层滤泡上皮细胞围成（图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在滤泡腔中合成并储存；发病之初，甲状腺滤泡上皮细胞受损；多数患者发病后，甲状腺摄碘率和血液中相关激素水平的变化如图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250DEE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39900"/>
            <wp:effectExtent l="0" t="0" r="0" b="1270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40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D180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在人体各系统中，甲状腺属于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系统。</w:t>
      </w:r>
    </w:p>
    <w:p w14:paraId="4C3B0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在滤泡上皮细胞内的碘浓度远高于组织液的情况下，细胞依然能摄取碘，这种吸收方式是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87D2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发病后的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个月内，血液中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水平高于正常的原因是：甲状腺滤泡上皮细胞受损导致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04A2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发病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个月时，该同学复查结果显示：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水平恢复正常，但摄碘率高于正常。家长担心摄碘率会居高不下。请根据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分泌的调节过程向家长做出解释以打消其顾虑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79560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发病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个月后，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会在正常范围内上下波动，表明甲状腺功能恢复正常。由此推测，甲状腺中的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结构已恢复完整。</w:t>
      </w:r>
    </w:p>
    <w:p w14:paraId="09353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链霉菌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能产生一种抗生素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，可用于防治植物病害，但产量很低。为提高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的产量，科研人员用紫外线和亚硝酸对野生型链霉菌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的孢子悬液进行诱变处理，筛选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产量提高的突变体（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株），以应用于农业生产。</w:t>
      </w:r>
    </w:p>
    <w:p w14:paraId="4A3A6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紫外线和亚硝酸均通过改变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，诱发基因突变。</w:t>
      </w:r>
    </w:p>
    <w:p w14:paraId="614A54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因基因突变频率低，孢子悬液中突变体占比很低；又因基因突变的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株在全部突变体中的占比低。要获得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株，需进行筛选。</w:t>
      </w:r>
    </w:p>
    <w:p w14:paraId="61A42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链霉菌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主要进行孢子繁殖。研究者对链霉菌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发酵液进行了粗提浓缩，得到粗提液，测定粗提液对野生型链霉菌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孢子萌发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影响，结果如图。</w:t>
      </w:r>
    </w:p>
    <w:p w14:paraId="25F14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71775" cy="17049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D9D0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由图可知，粗提液对野生型孢子萌发有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作用。</w:t>
      </w:r>
    </w:p>
    <w:p w14:paraId="2FFFD6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随后研究者进行筛选实验。诱变处理后，将适量孢子悬液涂布在含有不同浓度粗提液的筛选平板上，每个浓度的筛选平板设若干个重复，</w:t>
      </w:r>
      <w:r>
        <w:rPr>
          <w:rFonts w:ascii="Times New Roman" w:hAnsi="Times New Roman" w:eastAsia="Times New Roman" w:cs="Times New Roman"/>
          <w:color w:val="000000"/>
        </w:rPr>
        <w:t>28℃</w:t>
      </w:r>
      <w:r>
        <w:rPr>
          <w:rFonts w:ascii="宋体" w:hAnsi="宋体" w:eastAsia="宋体" w:cs="宋体"/>
          <w:color w:val="000000"/>
        </w:rPr>
        <w:t>培养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天。从每个浓度的筛选平板上挑取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个单菌落，再次分别培养后逐一测定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产量，统计结果如下表。</w:t>
      </w:r>
    </w:p>
    <w:tbl>
      <w:tblPr>
        <w:tblStyle w:val="4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420"/>
        <w:gridCol w:w="570"/>
        <w:gridCol w:w="570"/>
        <w:gridCol w:w="570"/>
        <w:gridCol w:w="570"/>
        <w:gridCol w:w="570"/>
      </w:tblGrid>
      <w:tr w14:paraId="54FFF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CBE8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0AC1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2054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8F8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III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8935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IV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71A4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V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33EE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VI</w:t>
            </w:r>
          </w:p>
        </w:tc>
      </w:tr>
      <w:tr w14:paraId="7099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9748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筛选平板中粗提液浓度（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mL/100mL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076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A646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CF5D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148C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AD4B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71C1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</w:tr>
      <w:tr w14:paraId="77FEF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0CE1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所取菌落中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+</w:t>
            </w:r>
            <w:r>
              <w:rPr>
                <w:rFonts w:ascii="宋体" w:hAnsi="宋体" w:eastAsia="宋体" w:cs="宋体"/>
                <w:color w:val="000000"/>
              </w:rPr>
              <w:t>株占比（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0C19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7904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473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324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AD4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DC51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369A68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①用图中信息，解释表中</w:t>
      </w:r>
      <w:r>
        <w:rPr>
          <w:rFonts w:ascii="Times New Roman" w:hAnsi="Times New Roman" w:eastAsia="Times New Roman" w:cs="Times New Roman"/>
          <w:color w:val="000000"/>
        </w:rPr>
        <w:t>IV</w:t>
      </w:r>
      <w:r>
        <w:rPr>
          <w:rFonts w:ascii="宋体" w:hAnsi="宋体" w:eastAsia="宋体" w:cs="宋体"/>
          <w:color w:val="000000"/>
        </w:rPr>
        <w:t>组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株占比明显高于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组的原因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ACABB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②表中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组中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株占比接近，但在筛选平板上形成的菌落有差异。下列叙述正确的有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（多选）。</w:t>
      </w:r>
    </w:p>
    <w:p w14:paraId="214A27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组中有野生型菌落，而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组中没有野生型菌落</w:t>
      </w:r>
    </w:p>
    <w:p w14:paraId="3C62BD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组中有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产量未提高的突变体菌落，而</w:t>
      </w: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组中没有</w:t>
      </w:r>
    </w:p>
    <w:p w14:paraId="505A31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．与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组相比，诱变处理后的孢子悬液中更多的突变体在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组中被抑制</w:t>
      </w:r>
    </w:p>
    <w:p w14:paraId="37F677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．与</w:t>
      </w:r>
      <w:r>
        <w:rPr>
          <w:rFonts w:ascii="Times New Roman" w:hAnsi="Times New Roman" w:eastAsia="Times New Roman" w:cs="Times New Roman"/>
          <w:color w:val="000000"/>
        </w:rPr>
        <w:t>Ⅲ</w:t>
      </w:r>
      <w:r>
        <w:rPr>
          <w:rFonts w:ascii="宋体" w:hAnsi="宋体" w:eastAsia="宋体" w:cs="宋体"/>
          <w:color w:val="000000"/>
        </w:rPr>
        <w:t>组相比，诱变处理后的孢子悬液中更多的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株在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组中被抑制</w:t>
      </w:r>
    </w:p>
    <w:p w14:paraId="47E1E0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综上所述，用粗提液筛选是获得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color w:val="000000"/>
          <w:vertAlign w:val="superscript"/>
        </w:rPr>
        <w:t>+</w:t>
      </w:r>
      <w:r>
        <w:rPr>
          <w:rFonts w:ascii="宋体" w:hAnsi="宋体" w:eastAsia="宋体" w:cs="宋体"/>
          <w:color w:val="000000"/>
        </w:rPr>
        <w:t>株的有效方法。</w:t>
      </w:r>
    </w:p>
    <w:p w14:paraId="4C7647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植物的光合作用效率与叶绿体的发育（形态结构建成）密切相关。叶绿体发育受基因的精细调控，以适应环境。科学家对光响应基因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在此过程中的作用进行了研究。</w:t>
      </w:r>
    </w:p>
    <w:p w14:paraId="4DFBA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实验中发现一株叶绿素含量升高的拟南芥突变体。经鉴定，其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基因功能缺失，命名为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是使用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观察到的叶绿体亚显微结构。与野生型相比，可见突变体基粒（</w:t>
      </w:r>
      <w:r>
        <w:rPr>
          <w:rFonts w:ascii="Times New Roman" w:hAnsi="Times New Roman" w:eastAsia="Times New Roman" w:cs="Times New Roman"/>
          <w:color w:val="000000"/>
        </w:rPr>
        <w:t>“[”</w:t>
      </w:r>
      <w:r>
        <w:rPr>
          <w:rFonts w:ascii="宋体" w:hAnsi="宋体" w:eastAsia="宋体" w:cs="宋体"/>
          <w:color w:val="000000"/>
        </w:rPr>
        <w:t>所示）中的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增多。</w:t>
      </w:r>
    </w:p>
    <w:p w14:paraId="0427D1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43325" cy="16478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8462A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蛋白促进叶绿体发育相关基因的转录，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蛋白可以与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蛋白结合。研究者构建了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功能缺失突变体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（叶绿素含量降低）及双突变体</w:t>
      </w:r>
      <w:r>
        <w:rPr>
          <w:rFonts w:ascii="Times New Roman" w:hAnsi="Times New Roman" w:eastAsia="Times New Roman" w:cs="Times New Roman"/>
          <w:color w:val="000000"/>
        </w:rPr>
        <w:t>bggk</w:t>
      </w:r>
      <w:r>
        <w:rPr>
          <w:rFonts w:ascii="宋体" w:hAnsi="宋体" w:eastAsia="宋体" w:cs="宋体"/>
          <w:color w:val="000000"/>
        </w:rPr>
        <w:t>。对三种突变体进行观察，发现双突变体的表型与突变体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相同，由此推测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通过抑制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的功能影响叶绿体发育。</w:t>
      </w:r>
    </w:p>
    <w:p w14:paraId="14648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为进一步证明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的抑制作用并探索其作用机制，将一定浓度的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蛋白与系列浓度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蛋白混合后，再加入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蛋白靶基因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宋体" w:hAnsi="宋体" w:eastAsia="宋体" w:cs="宋体"/>
          <w:color w:val="000000"/>
        </w:rPr>
        <w:t>的启动子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片段，反应一段时间后，经电泳检测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所在位置，结果如图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。分析实验结果可得出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抑制</w:t>
      </w:r>
      <w:r>
        <w:rPr>
          <w:rFonts w:ascii="Times New Roman" w:hAnsi="Times New Roman" w:eastAsia="Times New Roman" w:cs="Times New Roman"/>
          <w:color w:val="000000"/>
        </w:rPr>
        <w:t>GK</w:t>
      </w:r>
      <w:r>
        <w:rPr>
          <w:rFonts w:ascii="宋体" w:hAnsi="宋体" w:eastAsia="宋体" w:cs="宋体"/>
          <w:color w:val="000000"/>
        </w:rPr>
        <w:t>功能的机制是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AF98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76650" cy="18288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A6C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基于突变体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的表型，从进化与适应的角度推测光响应基因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存在的意义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7CC0A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食物过敏在人群中常见、多发，会反复发生，且可能逐渐加重。卵清蛋白（</w:t>
      </w:r>
      <w:r>
        <w:rPr>
          <w:rFonts w:ascii="Times New Roman" w:hAnsi="Times New Roman" w:eastAsia="Times New Roman" w:cs="Times New Roman"/>
          <w:color w:val="000000"/>
        </w:rPr>
        <w:t>OVA</w:t>
      </w:r>
      <w:r>
        <w:rPr>
          <w:rFonts w:ascii="宋体" w:hAnsi="宋体" w:eastAsia="宋体" w:cs="宋体"/>
          <w:color w:val="000000"/>
        </w:rPr>
        <w:t>）作为过敏原可激发机体产生特异性抗体（</w:t>
      </w:r>
      <w:r>
        <w:rPr>
          <w:rFonts w:ascii="Times New Roman" w:hAnsi="Times New Roman" w:eastAsia="Times New Roman" w:cs="Times New Roman"/>
          <w:color w:val="000000"/>
        </w:rPr>
        <w:t>OVA-Ab</w:t>
      </w:r>
      <w:r>
        <w:rPr>
          <w:rFonts w:ascii="宋体" w:hAnsi="宋体" w:eastAsia="宋体" w:cs="宋体"/>
          <w:color w:val="000000"/>
        </w:rPr>
        <w:t>），引发过敏反应。研究者将野生型小鼠（供体）的脾细胞转移给缺失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淋巴细胞的免疫缺陷小鼠（受体），通过系列实验，探究</w:t>
      </w:r>
      <w:r>
        <w:rPr>
          <w:rFonts w:ascii="Times New Roman" w:hAnsi="Times New Roman" w:eastAsia="Times New Roman" w:cs="Times New Roman"/>
          <w:color w:val="000000"/>
        </w:rPr>
        <w:t>OVA</w:t>
      </w:r>
      <w:r>
        <w:rPr>
          <w:rFonts w:ascii="宋体" w:hAnsi="宋体" w:eastAsia="宋体" w:cs="宋体"/>
          <w:color w:val="000000"/>
        </w:rPr>
        <w:t>引起过敏反应的机制。</w:t>
      </w:r>
    </w:p>
    <w:p w14:paraId="7A5FB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26574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C98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脾脏是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细胞集中分布和特异性免疫发生的场所。</w:t>
      </w:r>
    </w:p>
    <w:p w14:paraId="38204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用混有免疫增强剂的</w:t>
      </w:r>
      <w:r>
        <w:rPr>
          <w:rFonts w:ascii="Times New Roman" w:hAnsi="Times New Roman" w:eastAsia="Times New Roman" w:cs="Times New Roman"/>
          <w:color w:val="000000"/>
        </w:rPr>
        <w:t>OVA</w:t>
      </w:r>
      <w:r>
        <w:rPr>
          <w:rFonts w:ascii="宋体" w:hAnsi="宋体" w:eastAsia="宋体" w:cs="宋体"/>
          <w:color w:val="000000"/>
        </w:rPr>
        <w:t>给供体鼠灌胃，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细胞受刺激后活化、分裂并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个月后，通过静脉注射将供体鼠的脾细胞转移给受体鼠，然后仅用</w:t>
      </w:r>
      <w:r>
        <w:rPr>
          <w:rFonts w:ascii="Times New Roman" w:hAnsi="Times New Roman" w:eastAsia="Times New Roman" w:cs="Times New Roman"/>
          <w:color w:val="000000"/>
        </w:rPr>
        <w:t>OVA</w:t>
      </w:r>
      <w:r>
        <w:rPr>
          <w:rFonts w:ascii="宋体" w:hAnsi="宋体" w:eastAsia="宋体" w:cs="宋体"/>
          <w:color w:val="000000"/>
        </w:rPr>
        <w:t>对受体鼠进行灌胃，数天后，检测受体鼠血清中的</w:t>
      </w:r>
      <w:r>
        <w:rPr>
          <w:rFonts w:ascii="Times New Roman" w:hAnsi="Times New Roman" w:eastAsia="Times New Roman" w:cs="Times New Roman"/>
          <w:color w:val="000000"/>
        </w:rPr>
        <w:t>OVA-Ab</w:t>
      </w:r>
      <w:r>
        <w:rPr>
          <w:rFonts w:ascii="宋体" w:hAnsi="宋体" w:eastAsia="宋体" w:cs="宋体"/>
          <w:color w:val="000000"/>
        </w:rPr>
        <w:t>水平（图中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组）。</w:t>
      </w:r>
      <w:r>
        <w:rPr>
          <w:rFonts w:ascii="Times New Roman" w:hAnsi="Times New Roman" w:eastAsia="Times New Roman" w:cs="Times New Roman"/>
          <w:color w:val="000000"/>
        </w:rPr>
        <w:t>IV</w:t>
      </w:r>
      <w:r>
        <w:rPr>
          <w:rFonts w:ascii="宋体" w:hAnsi="宋体" w:eastAsia="宋体" w:cs="宋体"/>
          <w:color w:val="000000"/>
        </w:rPr>
        <w:t>组供体鼠不经灌胃处理，其他处理同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组。比较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Ⅳ</w:t>
      </w:r>
      <w:r>
        <w:rPr>
          <w:rFonts w:ascii="宋体" w:hAnsi="宋体" w:eastAsia="宋体" w:cs="宋体"/>
          <w:color w:val="000000"/>
        </w:rPr>
        <w:t>组结果可知，只用</w:t>
      </w:r>
      <w:r>
        <w:rPr>
          <w:rFonts w:ascii="Times New Roman" w:hAnsi="Times New Roman" w:eastAsia="Times New Roman" w:cs="Times New Roman"/>
          <w:color w:val="000000"/>
        </w:rPr>
        <w:t>OVA</w:t>
      </w:r>
      <w:r>
        <w:rPr>
          <w:rFonts w:ascii="宋体" w:hAnsi="宋体" w:eastAsia="宋体" w:cs="宋体"/>
          <w:color w:val="000000"/>
        </w:rPr>
        <w:t>不能引起初次免疫，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组受体鼠产生的</w:t>
      </w:r>
      <w:r>
        <w:rPr>
          <w:rFonts w:ascii="Times New Roman" w:hAnsi="Times New Roman" w:eastAsia="Times New Roman" w:cs="Times New Roman"/>
          <w:color w:val="000000"/>
        </w:rPr>
        <w:t>OVA-Ab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免疫的结果。</w:t>
      </w:r>
    </w:p>
    <w:p w14:paraId="73008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如图所示，脾细胞转移后，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组受体鼠未进行</w:t>
      </w:r>
      <w:r>
        <w:rPr>
          <w:rFonts w:ascii="Times New Roman" w:hAnsi="Times New Roman" w:eastAsia="Times New Roman" w:cs="Times New Roman"/>
          <w:color w:val="000000"/>
        </w:rPr>
        <w:t>OVA</w:t>
      </w:r>
      <w:r>
        <w:rPr>
          <w:rFonts w:ascii="宋体" w:hAnsi="宋体" w:eastAsia="宋体" w:cs="宋体"/>
          <w:color w:val="000000"/>
        </w:rPr>
        <w:t>灌胃，</w:t>
      </w:r>
      <w:r>
        <w:rPr>
          <w:rFonts w:ascii="Times New Roman" w:hAnsi="Times New Roman" w:eastAsia="Times New Roman" w:cs="Times New Roman"/>
          <w:color w:val="000000"/>
        </w:rPr>
        <w:t>III</w:t>
      </w:r>
      <w:r>
        <w:rPr>
          <w:rFonts w:ascii="宋体" w:hAnsi="宋体" w:eastAsia="宋体" w:cs="宋体"/>
          <w:color w:val="000000"/>
        </w:rPr>
        <w:t>组供体鼠在脾细胞转移前已清除了辅助性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细胞，其他处理同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组。在脾细胞转移前，各组供体鼠均检测不到</w:t>
      </w:r>
      <w:r>
        <w:rPr>
          <w:rFonts w:ascii="Times New Roman" w:hAnsi="Times New Roman" w:eastAsia="Times New Roman" w:cs="Times New Roman"/>
          <w:color w:val="000000"/>
        </w:rPr>
        <w:t>OVA</w:t>
      </w:r>
      <w:r>
        <w:rPr>
          <w:rFonts w:ascii="宋体" w:hAnsi="宋体" w:eastAsia="宋体" w:cs="宋体"/>
          <w:color w:val="000000"/>
        </w:rPr>
        <w:t>特异的浆细胞和</w:t>
      </w:r>
      <w:r>
        <w:rPr>
          <w:rFonts w:ascii="Times New Roman" w:hAnsi="Times New Roman" w:eastAsia="Times New Roman" w:cs="Times New Roman"/>
          <w:color w:val="000000"/>
        </w:rPr>
        <w:t>OVA-Ab</w:t>
      </w:r>
      <w:r>
        <w:rPr>
          <w:rFonts w:ascii="宋体" w:hAnsi="宋体" w:eastAsia="宋体" w:cs="宋体"/>
          <w:color w:val="000000"/>
        </w:rPr>
        <w:t>。分析各组结果，在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组受体鼠快速产生大量</w:t>
      </w:r>
      <w:r>
        <w:rPr>
          <w:rFonts w:ascii="Times New Roman" w:hAnsi="Times New Roman" w:eastAsia="Times New Roman" w:cs="Times New Roman"/>
          <w:color w:val="000000"/>
        </w:rPr>
        <w:t>OVA-Ab</w:t>
      </w:r>
      <w:r>
        <w:rPr>
          <w:rFonts w:ascii="宋体" w:hAnsi="宋体" w:eastAsia="宋体" w:cs="宋体"/>
          <w:color w:val="000000"/>
        </w:rPr>
        <w:t>的过程中，三种免疫细胞的关系是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5C18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某些个体发生食物过敏后，即使很多年没有接触过敏原，再次接触时仍会很快发生过敏。结合文中信息可知，导致长时间后过敏反应复发的关键细胞及其特点是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923A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Usher</w:t>
      </w:r>
      <w:r>
        <w:rPr>
          <w:rFonts w:ascii="宋体" w:hAnsi="宋体" w:eastAsia="宋体" w:cs="宋体"/>
          <w:color w:val="000000"/>
        </w:rPr>
        <w:t>综合征（</w:t>
      </w:r>
      <w:r>
        <w:rPr>
          <w:rFonts w:ascii="Times New Roman" w:hAnsi="Times New Roman" w:eastAsia="Times New Roman" w:cs="Times New Roman"/>
          <w:color w:val="000000"/>
        </w:rPr>
        <w:t>USH</w:t>
      </w:r>
      <w:r>
        <w:rPr>
          <w:rFonts w:ascii="宋体" w:hAnsi="宋体" w:eastAsia="宋体" w:cs="宋体"/>
          <w:color w:val="000000"/>
        </w:rPr>
        <w:t>）是一种听力和视力受损的常染色体隐性遗传病，分为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型、</w:t>
      </w:r>
      <w:r>
        <w:rPr>
          <w:rFonts w:ascii="Times New Roman" w:hAnsi="Times New Roman" w:eastAsia="Times New Roman" w:cs="Times New Roman"/>
          <w:color w:val="000000"/>
        </w:rPr>
        <w:t>β</w:t>
      </w:r>
      <w:r>
        <w:rPr>
          <w:rFonts w:ascii="宋体" w:hAnsi="宋体" w:eastAsia="宋体" w:cs="宋体"/>
          <w:color w:val="000000"/>
        </w:rPr>
        <w:t>型和</w:t>
      </w:r>
      <w:r>
        <w:rPr>
          <w:rFonts w:ascii="Times New Roman" w:hAnsi="Times New Roman" w:eastAsia="Times New Roman" w:cs="Times New Roman"/>
          <w:color w:val="000000"/>
        </w:rPr>
        <w:t>γ</w:t>
      </w:r>
      <w:r>
        <w:rPr>
          <w:rFonts w:ascii="宋体" w:hAnsi="宋体" w:eastAsia="宋体" w:cs="宋体"/>
          <w:color w:val="000000"/>
        </w:rPr>
        <w:t>型。已经发现至少有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个不同基因的突变都可分别导致</w:t>
      </w:r>
      <w:r>
        <w:rPr>
          <w:rFonts w:ascii="Times New Roman" w:hAnsi="Times New Roman" w:eastAsia="Times New Roman" w:cs="Times New Roman"/>
          <w:color w:val="000000"/>
        </w:rPr>
        <w:t>USH</w:t>
      </w:r>
      <w:r>
        <w:rPr>
          <w:rFonts w:ascii="宋体" w:hAnsi="宋体" w:eastAsia="宋体" w:cs="宋体"/>
          <w:color w:val="000000"/>
        </w:rPr>
        <w:t>。在小鼠中也存在相同情况。</w:t>
      </w:r>
    </w:p>
    <w:p w14:paraId="2675E8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两个由单基因突变引起的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型</w:t>
      </w:r>
      <w:r>
        <w:rPr>
          <w:rFonts w:ascii="Times New Roman" w:hAnsi="Times New Roman" w:eastAsia="Times New Roman" w:cs="Times New Roman"/>
          <w:color w:val="000000"/>
        </w:rPr>
        <w:t>USH</w:t>
      </w:r>
      <w:r>
        <w:rPr>
          <w:rFonts w:ascii="宋体" w:hAnsi="宋体" w:eastAsia="宋体" w:cs="宋体"/>
          <w:color w:val="000000"/>
        </w:rPr>
        <w:t>的家系如图。</w:t>
      </w:r>
    </w:p>
    <w:p w14:paraId="7270A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12477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CCA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①家系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II-2</w:t>
      </w:r>
      <w:r>
        <w:rPr>
          <w:rFonts w:ascii="宋体" w:hAnsi="宋体" w:eastAsia="宋体" w:cs="宋体"/>
          <w:color w:val="000000"/>
        </w:rPr>
        <w:t>是携带者的概率为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68208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②家系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II-1</w:t>
      </w:r>
      <w:r>
        <w:rPr>
          <w:rFonts w:ascii="宋体" w:hAnsi="宋体" w:eastAsia="宋体" w:cs="宋体"/>
          <w:color w:val="000000"/>
        </w:rPr>
        <w:t>与家系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II-2</w:t>
      </w:r>
      <w:r>
        <w:rPr>
          <w:rFonts w:ascii="宋体" w:hAnsi="宋体" w:eastAsia="宋体" w:cs="宋体"/>
          <w:color w:val="000000"/>
        </w:rPr>
        <w:t>之间婚配，所生子女均正常，原因是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1354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基因间的相互作用会使表型复杂化。例如，小鼠在单基因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突变的情况下，</w:t>
      </w:r>
      <w:r>
        <w:rPr>
          <w:rFonts w:ascii="Times New Roman" w:hAnsi="Times New Roman" w:eastAsia="Times New Roman" w:cs="Times New Roman"/>
          <w:color w:val="000000"/>
        </w:rPr>
        <w:t>gg</w:t>
      </w:r>
      <w:r>
        <w:rPr>
          <w:rFonts w:ascii="宋体" w:hAnsi="宋体" w:eastAsia="宋体" w:cs="宋体"/>
          <w:color w:val="000000"/>
        </w:rPr>
        <w:t>表现为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型，</w:t>
      </w:r>
      <w:r>
        <w:rPr>
          <w:rFonts w:ascii="Times New Roman" w:hAnsi="Times New Roman" w:eastAsia="Times New Roman" w:cs="Times New Roman"/>
          <w:color w:val="000000"/>
        </w:rPr>
        <w:t>rr</w:t>
      </w:r>
      <w:r>
        <w:rPr>
          <w:rFonts w:ascii="宋体" w:hAnsi="宋体" w:eastAsia="宋体" w:cs="宋体"/>
          <w:color w:val="000000"/>
        </w:rPr>
        <w:t>表现为</w:t>
      </w:r>
      <w:r>
        <w:rPr>
          <w:rFonts w:ascii="Times New Roman" w:hAnsi="Times New Roman" w:eastAsia="Times New Roman" w:cs="Times New Roman"/>
          <w:color w:val="000000"/>
        </w:rPr>
        <w:t>γ</w:t>
      </w:r>
      <w:r>
        <w:rPr>
          <w:rFonts w:ascii="宋体" w:hAnsi="宋体" w:eastAsia="宋体" w:cs="宋体"/>
          <w:color w:val="000000"/>
        </w:rPr>
        <w:t>型，而双突变体小鼠</w:t>
      </w:r>
      <w:r>
        <w:rPr>
          <w:rFonts w:ascii="Times New Roman" w:hAnsi="Times New Roman" w:eastAsia="Times New Roman" w:cs="Times New Roman"/>
          <w:color w:val="000000"/>
        </w:rPr>
        <w:t>ggrr</w:t>
      </w:r>
      <w:r>
        <w:rPr>
          <w:rFonts w:ascii="宋体" w:hAnsi="宋体" w:eastAsia="宋体" w:cs="宋体"/>
          <w:color w:val="000000"/>
        </w:rPr>
        <w:t>表现为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型。表型正常的</w:t>
      </w:r>
      <w:r>
        <w:rPr>
          <w:rFonts w:ascii="Times New Roman" w:hAnsi="Times New Roman" w:eastAsia="Times New Roman" w:cs="Times New Roman"/>
          <w:color w:val="000000"/>
        </w:rPr>
        <w:t>GgRr</w:t>
      </w:r>
      <w:r>
        <w:rPr>
          <w:rFonts w:ascii="宋体" w:hAnsi="宋体" w:eastAsia="宋体" w:cs="宋体"/>
          <w:color w:val="000000"/>
        </w:rPr>
        <w:t>小鼠间杂交，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表型及占比为：正常</w:t>
      </w:r>
      <w:r>
        <w:rPr>
          <w:rFonts w:ascii="Times New Roman" w:hAnsi="Times New Roman" w:eastAsia="Times New Roman" w:cs="Times New Roman"/>
          <w:color w:val="000000"/>
        </w:rPr>
        <w:t>9/16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型</w:t>
      </w:r>
      <w:r>
        <w:rPr>
          <w:rFonts w:ascii="Times New Roman" w:hAnsi="Times New Roman" w:eastAsia="Times New Roman" w:cs="Times New Roman"/>
          <w:color w:val="000000"/>
        </w:rPr>
        <w:t>3/8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γ</w:t>
      </w:r>
      <w:r>
        <w:rPr>
          <w:rFonts w:ascii="宋体" w:hAnsi="宋体" w:eastAsia="宋体" w:cs="宋体"/>
          <w:color w:val="000000"/>
        </w:rPr>
        <w:t>型</w:t>
      </w:r>
      <w:r>
        <w:rPr>
          <w:rFonts w:ascii="Times New Roman" w:hAnsi="Times New Roman" w:eastAsia="Times New Roman" w:cs="Times New Roman"/>
          <w:color w:val="000000"/>
        </w:rPr>
        <w:t>1/16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型个体中杂合子的基因型有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4BD50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基因编码的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color w:val="000000"/>
          <w:vertAlign w:val="superscript"/>
        </w:rPr>
        <w:t>N</w:t>
      </w:r>
      <w:r>
        <w:rPr>
          <w:rFonts w:ascii="宋体" w:hAnsi="宋体" w:eastAsia="宋体" w:cs="宋体"/>
          <w:color w:val="000000"/>
        </w:rPr>
        <w:t>蛋白比野生型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蛋白易于降解，导致</w:t>
      </w:r>
      <w:r>
        <w:rPr>
          <w:rFonts w:ascii="Times New Roman" w:hAnsi="Times New Roman" w:eastAsia="Times New Roman" w:cs="Times New Roman"/>
          <w:color w:val="000000"/>
        </w:rPr>
        <w:t>USH</w:t>
      </w:r>
      <w:r>
        <w:rPr>
          <w:rFonts w:ascii="宋体" w:hAnsi="宋体" w:eastAsia="宋体" w:cs="宋体"/>
          <w:color w:val="000000"/>
        </w:rPr>
        <w:t>。因此，抑制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color w:val="000000"/>
          <w:vertAlign w:val="superscript"/>
        </w:rPr>
        <w:t>N</w:t>
      </w:r>
      <w:r>
        <w:rPr>
          <w:rFonts w:ascii="宋体" w:hAnsi="宋体" w:eastAsia="宋体" w:cs="宋体"/>
          <w:color w:val="000000"/>
        </w:rPr>
        <w:t>降解是治疗</w:t>
      </w:r>
      <w:r>
        <w:rPr>
          <w:rFonts w:ascii="Times New Roman" w:hAnsi="Times New Roman" w:eastAsia="Times New Roman" w:cs="Times New Roman"/>
          <w:color w:val="000000"/>
        </w:rPr>
        <w:t>USH</w:t>
      </w:r>
      <w:r>
        <w:rPr>
          <w:rFonts w:ascii="宋体" w:hAnsi="宋体" w:eastAsia="宋体" w:cs="宋体"/>
          <w:color w:val="000000"/>
        </w:rPr>
        <w:t>的一种思路。已知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color w:val="000000"/>
          <w:vertAlign w:val="superscript"/>
        </w:rPr>
        <w:t>N</w:t>
      </w:r>
      <w:r>
        <w:rPr>
          <w:rFonts w:ascii="宋体" w:hAnsi="宋体" w:eastAsia="宋体" w:cs="宋体"/>
          <w:color w:val="000000"/>
        </w:rPr>
        <w:t>通过蛋白酶体降解，但抑制蛋白酶体的功能会导致细胞凋亡，因而用于治疗的药物需在增强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color w:val="000000"/>
          <w:vertAlign w:val="superscript"/>
        </w:rPr>
        <w:t>N</w:t>
      </w:r>
      <w:r>
        <w:rPr>
          <w:rFonts w:ascii="宋体" w:hAnsi="宋体" w:eastAsia="宋体" w:cs="宋体"/>
          <w:color w:val="000000"/>
        </w:rPr>
        <w:t>稳定性的同时，不抑制蛋白酶体功能。红色荧光蛋白与某蛋白的融合蛋白以及绿色荧光蛋白与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color w:val="000000"/>
          <w:vertAlign w:val="superscript"/>
        </w:rPr>
        <w:t>N</w:t>
      </w:r>
      <w:r>
        <w:rPr>
          <w:rFonts w:ascii="宋体" w:hAnsi="宋体" w:eastAsia="宋体" w:cs="宋体"/>
          <w:color w:val="000000"/>
        </w:rPr>
        <w:t>的融合蛋白都通过蛋白酶体降解，研究者制备了同时表达这两种融合蛋白的细胞，在不加入和加入某种药物时均分别测定两种荧光强度。如果该药物符合要求，则加药后的检测结果是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66606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将野生型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基因连接到病毒载体上，再导入患者内耳或视网膜细胞，是治疗</w:t>
      </w:r>
      <w:r>
        <w:rPr>
          <w:rFonts w:ascii="Times New Roman" w:hAnsi="Times New Roman" w:eastAsia="Times New Roman" w:cs="Times New Roman"/>
          <w:color w:val="000000"/>
        </w:rPr>
        <w:t>USH</w:t>
      </w:r>
      <w:r>
        <w:rPr>
          <w:rFonts w:ascii="宋体" w:hAnsi="宋体" w:eastAsia="宋体" w:cs="宋体"/>
          <w:color w:val="000000"/>
        </w:rPr>
        <w:t>的另一种思路。为避免对患者的潜在伤害，保证治疗的安全性，用作载体的病毒必须满足一些条件。请写出其中两个条件并分别加以解释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4722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学习以下材料，回答（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）题。</w:t>
      </w:r>
    </w:p>
    <w:p w14:paraId="151607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野生动物个体识别的新方法</w:t>
      </w:r>
    </w:p>
    <w:p w14:paraId="5F0DD1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识别野生动物个体有助于野外生态学的研究。近年，人们发现可以从动物粪便中提取该动物的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扩增特定的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片段，测定产物的长度或序列，据此可识别个体，在此基础上可以获得野生动物的多种生态学信息。</w:t>
      </w:r>
    </w:p>
    <w:p w14:paraId="4D0F77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微卫星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是一种常用于个体识别的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片段，广泛分布于核基因组中。每个微卫星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是一段串联重复序列，每个重复单位长度为</w:t>
      </w:r>
      <w:r>
        <w:rPr>
          <w:rFonts w:ascii="Times New Roman" w:hAnsi="Times New Roman" w:eastAsia="Times New Roman" w:cs="Times New Roman"/>
          <w:color w:val="000000"/>
        </w:rPr>
        <w:t>2~6bp</w:t>
      </w:r>
      <w:r>
        <w:rPr>
          <w:rFonts w:ascii="宋体" w:hAnsi="宋体" w:eastAsia="宋体" w:cs="宋体"/>
          <w:color w:val="000000"/>
        </w:rPr>
        <w:t>（碱基对），重复数可以达到几十个（图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）．基因组中有很多个微卫星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，分布在不同位置。每个位置的微卫星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可视为一个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，由于重复单位的数目不同，同一位置的微卫星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可以有多个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等位基因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，能组成多种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．分析多个微卫星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，可得到个体特异的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组合，由此区分开不同的个体。</w:t>
      </w:r>
    </w:p>
    <w:p w14:paraId="45E5E8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依据微卫星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两侧的旁邻序列（图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），设计并合成特异性引物，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扩增后，检测扩增片段长度，即可得知所测个体的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等位基因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（以片段长度命名），进而获得该个体的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。例如，图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是对某种哺乳动物个体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的一个微卫星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进行扩增后电泳分析的结果示意图，个体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177/183</w:t>
      </w:r>
      <w:r>
        <w:rPr>
          <w:rFonts w:ascii="宋体" w:hAnsi="宋体" w:eastAsia="宋体" w:cs="宋体"/>
          <w:color w:val="000000"/>
        </w:rPr>
        <w:t>。</w:t>
      </w:r>
    </w:p>
    <w:p w14:paraId="57058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37970"/>
            <wp:effectExtent l="0" t="0" r="0" b="508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8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24AC7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有一个远离大陆的孤岛，陆生哺乳动物几乎无法到达，人类活动将食肉动物貉带到该岛上。科学家在岛上采集貉的新鲜粪便，提取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，扩增并分析了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个微卫星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，结果在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份样品中成功鉴定出个体（如表）。几个月后再次采集貉的新鲜粪便，进行同样的分析，在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份样品中成功鉴定出个体（如表）。据此，科学家估算出该岛上貉的种群数量。</w:t>
      </w:r>
    </w:p>
    <w:p w14:paraId="1B0C92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两次采样所鉴定出的貉的个体编号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  <w:gridCol w:w="602"/>
      </w:tblGrid>
      <w:tr w14:paraId="4326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8325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17F0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第一次采集的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份粪便样品所对应的个体编号</w:t>
            </w:r>
          </w:p>
        </w:tc>
      </w:tr>
      <w:tr w14:paraId="791C9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77B7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N01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FE46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N02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BFD2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N03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5DF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N04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AACB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N05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F06D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N06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350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N07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2FB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N08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6E26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N08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A922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N09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6094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N10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1677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N11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E997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N12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A7D8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N12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7D7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N13</w:t>
            </w:r>
          </w:p>
        </w:tc>
      </w:tr>
      <w:tr w14:paraId="73B8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12A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N14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65A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N14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FDD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N15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B69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N16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BBB2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N17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DCB8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N18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D72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N18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787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N19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B14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N20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F54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N21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F9C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N22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80B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N22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0D8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N23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C78D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N24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8C9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N24</w:t>
            </w:r>
          </w:p>
        </w:tc>
      </w:tr>
      <w:tr w14:paraId="0B57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8325" w:type="dxa"/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2AC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第二次采集的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份粪便样品所对应的个体编号</w:t>
            </w:r>
          </w:p>
        </w:tc>
      </w:tr>
      <w:tr w14:paraId="79C5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F380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N03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7D5F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N04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E45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N05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1A9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N08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4EE2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N09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EDE5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N09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3D74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N12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DE18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N14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0D1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N18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DC5C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N23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C979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N24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32B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N25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CDEB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N26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CA1D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N26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185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N26</w:t>
            </w:r>
          </w:p>
        </w:tc>
      </w:tr>
      <w:tr w14:paraId="7209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551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N27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87D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N28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A0E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N29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C7A0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N30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FD9F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N30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7032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N31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2E9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N32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C03A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N32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AAB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N33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6235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N33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EDA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N33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10B7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N34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CC6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N35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2111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N36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766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N37</w:t>
            </w:r>
          </w:p>
        </w:tc>
      </w:tr>
      <w:tr w14:paraId="7F3F9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9021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N38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7FF0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N39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5E29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N40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231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N41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F11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N42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D2F5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N43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B43E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N44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805B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N44</w:t>
            </w:r>
          </w:p>
        </w:tc>
        <w:tc>
          <w:tcPr>
            <w:tcW w:w="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58D7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N45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5819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N46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56CC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B004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296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D94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C3CD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1A03AE15">
      <w:pPr>
        <w:spacing w:line="360" w:lineRule="auto"/>
        <w:jc w:val="left"/>
        <w:textAlignment w:val="center"/>
        <w:rPr>
          <w:color w:val="000000"/>
        </w:rPr>
      </w:pPr>
    </w:p>
    <w:p w14:paraId="013926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中个体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29F9B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使用微卫星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鉴定个体时，能区分的个体数是由微卫星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的数目和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的数目决定的。</w:t>
      </w:r>
    </w:p>
    <w:p w14:paraId="50BAA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科学家根据表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信息，使用了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法的原理来估算这个岛上貉的种群数量，计算过程及结果为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2E710B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1948</Words>
  <Characters>2115</Characters>
  <TotalTime>0</TotalTime>
  <ScaleCrop>false</ScaleCrop>
  <LinksUpToDate>false</LinksUpToDate>
  <CharactersWithSpaces>2263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2025-06-23T06:05:16Z</dcterms:created>
  <dc:creator>期待明天</dc:creator>
  <cp:lastModifiedBy>期待明天</cp:lastModifiedBy>
  <dcterms:modified xsi:type="dcterms:W3CDTF">2025-06-23T06:05:24Z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eyJoZGlkIjoiMmQyOWI4MTA5ZjUxOTVhZDRlNGViNjg4YmFkOWNhMjAiLCJ1c2VySWQiOiI5OTY2MjAyMTgifQ==</vt:lpwstr>
  </property>
  <property fmtid="{D5CDD505-2E9C-101B-9397-08002B2CF9AE}" pid="3" name="KSOProductBuildVer">
    <vt:lpwstr>2052-12.1.0.21541</vt:lpwstr>
  </property>
  <property fmtid="{D5CDD505-2E9C-101B-9397-08002B2CF9AE}" pid="4" name="ICV">
    <vt:lpwstr>EDDE6024BE2041A18FA07512350354B6_12</vt:lpwstr>
  </property>
</Properties>
</file>